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pPr>
      <w:r>
        <w:drawing>
          <wp:inline distT="0" distB="0" distL="0" distR="0">
            <wp:extent cx="1781175"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781175" cy="571500"/>
                    </a:xfrm>
                    <a:prstGeom prst="rect">
                      <a:avLst/>
                    </a:prstGeom>
                  </pic:spPr>
                </pic:pic>
              </a:graphicData>
            </a:graphic>
          </wp:inline>
        </w:drawing>
      </w:r>
    </w:p>
    <w:p>
      <w:pPr>
        <w:spacing w:after="60"/>
      </w:pPr>
      <w:r>
        <w:rPr>
          <w:rFonts w:ascii="Calibri" w:cs="Calibri" w:eastAsia="Calibri" w:hAnsi="Calibri"/>
          <w:b/>
          <w:bCs/>
          <w:color w:val="4F7F3A"/>
          <w:sz w:val="40"/>
          <w:szCs w:val="40"/>
        </w:rPr>
        <w:t xml:space="preserve">Technology Due Diligence and Transition Questionnaire</w:t>
      </w:r>
    </w:p>
    <w:p>
      <w:pPr>
        <w:spacing w:after="220"/>
      </w:pPr>
      <w:r>
        <w:rPr>
          <w:rFonts w:ascii="Calibri" w:cs="Calibri" w:eastAsia="Calibri" w:hAnsi="Calibri"/>
          <w:color w:val="595959"/>
          <w:sz w:val="24"/>
          <w:szCs w:val="24"/>
        </w:rPr>
        <w:t xml:space="preserve">For the Acquisition of an Accounting or CPA Firm</w:t>
      </w:r>
    </w:p>
    <w:p>
      <w:pPr>
        <w:spacing w:after="120"/>
      </w:pPr>
      <w:r>
        <w:rPr>
          <w:rFonts w:ascii="Calibri" w:cs="Calibri" w:eastAsia="Calibri" w:hAnsi="Calibri"/>
          <w:color w:val="000000"/>
          <w:sz w:val="20"/>
          <w:szCs w:val="20"/>
        </w:rPr>
        <w:t xml:space="preserve">Purpose. Technology is where firm acquisitions most often pick up unplanned cost: licenses that do not transfer, hardware past end of support, undisclosed security incidents, and compliance gaps that become the buyer's obligation at close. This questionnaire serves two purposes. It surfaces those issues during diligence, and it gives Tech Guru, which will assume technology services after close, the information needed to plan the handover from the current IT provider, license migration, and day-one readiness for staff and clients.</w:t>
      </w:r>
    </w:p>
    <w:p>
      <w:pPr>
        <w:spacing w:after="200"/>
      </w:pPr>
      <w:r>
        <w:rPr>
          <w:rFonts w:ascii="Calibri" w:cs="Calibri" w:eastAsia="Calibri" w:hAnsi="Calibri"/>
          <w:color w:val="000000"/>
          <w:sz w:val="20"/>
          <w:szCs w:val="20"/>
        </w:rPr>
        <w:t xml:space="preserve">Instructions for the responding firm or its IT provider. Complete every section. Where a question does not apply, mark N/A rather than leaving it blank. Attach the supporting documents listed in Section 14. If you are unsure of an answer, say so in the Details column; an honest unknown is more useful than a guess. Do not write any password or credential in this document.</w:t>
      </w:r>
    </w:p>
    <w:p>
      <w:pPr>
        <w:spacing w:after="80"/>
      </w:pPr>
      <w:r>
        <w:rPr>
          <w:rFonts w:ascii="Calibri" w:cs="Calibri" w:eastAsia="Calibri" w:hAnsi="Calibri"/>
          <w:b/>
          <w:bCs/>
          <w:color w:val="4F7F3A"/>
          <w:sz w:val="24"/>
          <w:szCs w:val="24"/>
        </w:rPr>
        <w:t xml:space="preserve">Respondent Information</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Target firm legal name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Completed by (name and title)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Company (if completed by IT provider)</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Email</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Phone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Date completed</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  </w:t>
            </w:r>
            <w:r>
              <w:rPr>
                <w:rFonts w:ascii="Calibri" w:cs="Calibri" w:eastAsia="Calibri" w:hAnsi="Calibri"/>
                <w:b/>
                <w:bCs/>
                <w:color w:val="FFFFFF"/>
                <w:sz w:val="24"/>
                <w:szCs w:val="24"/>
              </w:rPr>
              <w:t xml:space="preserve">Organization and People</w:t>
            </w:r>
          </w:p>
        </w:tc>
      </w:tr>
    </w:tbl>
    <w:p>
      <w:pPr>
        <w:spacing w:after="100" w:before="80"/>
      </w:pPr>
      <w:r>
        <w:rPr>
          <w:rFonts w:ascii="Calibri" w:cs="Calibri" w:eastAsia="Calibri" w:hAnsi="Calibri"/>
          <w:i/>
          <w:iCs/>
          <w:color w:val="595959"/>
          <w:sz w:val="18"/>
          <w:szCs w:val="18"/>
        </w:rPr>
        <w:t xml:space="preserve">Headcount and work model drive licensing, hardware, and integration cost.</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1300"/>
        <w:gridCol w:w="2700"/>
        <w:gridCol w:w="2840"/>
      </w:tblGrid>
      <w:tr>
        <w:trPr>
          <w:cantSplit/>
          <w:tblHeader/>
        </w:trPr>
        <w:tc>
          <w:tcPr>
            <w:tcW w:type="dxa" w:w="34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Staff category</w:t>
            </w:r>
          </w:p>
        </w:tc>
        <w:tc>
          <w:tcPr>
            <w:tcW w:type="dxa" w:w="13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Count</w:t>
            </w:r>
          </w:p>
        </w:tc>
        <w:tc>
          <w:tcPr>
            <w:tcW w:type="dxa" w:w="2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In office / hybrid / remote</w:t>
            </w:r>
          </w:p>
        </w:tc>
        <w:tc>
          <w:tcPr>
            <w:tcW w:type="dxa" w:w="28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Notes</w:t>
            </w:r>
          </w:p>
        </w:tc>
      </w:tr>
      <w:tr>
        <w:trPr>
          <w:cantSplit/>
          <w:trHeight w:val="42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Partners / owners</w:t>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Full-time staff</w:t>
            </w:r>
          </w:p>
        </w:tc>
        <w:tc>
          <w:tcPr>
            <w:tcW w:type="dxa" w:w="1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8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Part-time / seasonal staff</w:t>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1099 contractors</w:t>
            </w:r>
          </w:p>
        </w:tc>
        <w:tc>
          <w:tcPr>
            <w:tcW w:type="dxa" w:w="1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8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Offshore staff or contractors</w:t>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Office locations (city, state)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States where remote staff reside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 offshore staff or contractors access client data?</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any staff with admin access expected to depart at close?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any IT knowledge undocumented (held by one person)?</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Has the firm acquired or merged with other firms in the past 10 years?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there multiple email domains or Microsoft 365 / Google tenants from prior mergers?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2  </w:t>
            </w:r>
            <w:r>
              <w:rPr>
                <w:rFonts w:ascii="Calibri" w:cs="Calibri" w:eastAsia="Calibri" w:hAnsi="Calibri"/>
                <w:b/>
                <w:bCs/>
                <w:color w:val="FFFFFF"/>
                <w:sz w:val="24"/>
                <w:szCs w:val="24"/>
              </w:rPr>
              <w:t xml:space="preserve">Current IT Services and Transition</w:t>
            </w:r>
          </w:p>
        </w:tc>
      </w:tr>
    </w:tbl>
    <w:p>
      <w:pPr>
        <w:spacing w:after="100" w:before="80"/>
      </w:pPr>
      <w:r>
        <w:rPr>
          <w:rFonts w:ascii="Calibri" w:cs="Calibri" w:eastAsia="Calibri" w:hAnsi="Calibri"/>
          <w:i/>
          <w:iCs/>
          <w:color w:val="595959"/>
          <w:sz w:val="18"/>
          <w:szCs w:val="18"/>
        </w:rPr>
        <w:t xml:space="preserve">Tech Guru will assume technology services after close. These answers determine the handover plan, what must be replaced or migrated, and how quickly day-one readiness can be achieved.</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Current IT provider name and primary contact</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Contract end date and required notice period</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Monthly cost and services included</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IT documentation platform (IT Glue, Hudu, none)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Where admin credentials are stored today</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Who holds domain registrar and DNS access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terminating the IT agreement carry a penalty or minimum commitment payout?</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Does the contract obligate the provider to cooperate at offboarding (documentation handover, credential transfer)?</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Microsoft 365 or Google licenses purchased through the IT provider (CSP)? (These must be migrated)</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Does the provider own or bill the RMM, EDR, backup, or email security tools in use? (Agents must be replaced)</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the provider hold backup data on infrastructure they own? (Data return will be required)</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internet, phone, or domain services billed through the IT provider?</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 documented break-glass admin credentials exist independent of the provider?</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the IT provider aware of the potential sale?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p>
      <w:pPr>
        <w:spacing w:after="100" w:before="80"/>
      </w:pPr>
      <w:r>
        <w:rPr>
          <w:rFonts w:ascii="Calibri" w:cs="Calibri" w:eastAsia="Calibri" w:hAnsi="Calibri"/>
          <w:i/>
          <w:iCs/>
          <w:color w:val="595959"/>
          <w:sz w:val="18"/>
          <w:szCs w:val="18"/>
        </w:rPr>
        <w:t xml:space="preserve">Transition timing. Cutover will be scheduled around the practice calendar.</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Blackout dates (filing deadlines, extension season)</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Preferred transition window after close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Systems that cannot tolerate downtime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3  </w:t>
            </w:r>
            <w:r>
              <w:rPr>
                <w:rFonts w:ascii="Calibri" w:cs="Calibri" w:eastAsia="Calibri" w:hAnsi="Calibri"/>
                <w:b/>
                <w:bCs/>
                <w:color w:val="FFFFFF"/>
                <w:sz w:val="24"/>
                <w:szCs w:val="24"/>
              </w:rPr>
              <w:t xml:space="preserve">Applications and Tech Stack</w:t>
            </w:r>
          </w:p>
        </w:tc>
      </w:tr>
    </w:tbl>
    <w:p>
      <w:pPr>
        <w:spacing w:after="100" w:before="80"/>
      </w:pPr>
      <w:r>
        <w:rPr>
          <w:rFonts w:ascii="Calibri" w:cs="Calibri" w:eastAsia="Calibri" w:hAnsi="Calibri"/>
          <w:i/>
          <w:iCs/>
          <w:color w:val="595959"/>
          <w:sz w:val="18"/>
          <w:szCs w:val="18"/>
        </w:rPr>
        <w:t xml:space="preserve">List every application that touches client work. Add rows on a separate sheet if needed.</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500"/>
        <w:gridCol w:w="2800"/>
        <w:gridCol w:w="2440"/>
        <w:gridCol w:w="900"/>
        <w:gridCol w:w="1600"/>
      </w:tblGrid>
      <w:tr>
        <w:trPr>
          <w:cantSplit/>
          <w:tblHeader/>
        </w:trPr>
        <w:tc>
          <w:tcPr>
            <w:tcW w:type="dxa" w:w="25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Category</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Product and version</w:t>
            </w:r>
          </w:p>
        </w:tc>
        <w:tc>
          <w:tcPr>
            <w:tcW w:type="dxa" w:w="24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Hosting (on-prem / hosted / cloud)</w:t>
            </w:r>
          </w:p>
        </w:tc>
        <w:tc>
          <w:tcPr>
            <w:tcW w:type="dxa" w:w="9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Users</w:t>
            </w:r>
          </w:p>
        </w:tc>
        <w:tc>
          <w:tcPr>
            <w:tcW w:type="dxa" w:w="16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Notes</w:t>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Tax preparation</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Practice management / time and billing</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Document management</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Client portal / file exchange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E-signature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Audit / assurance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Bookkeeping platforms (client work)</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Research subscriptions</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Custom tools, macros, databases</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Other</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5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Other</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any software end-of-life or more than one major version behind?</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there integrations or automations between systems?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the person who built those integrations still available?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any IT or software migration projects currently in progress (e.g., DMS change, QuickBooks Desktop to Online)?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 staff use AI tools (ChatGPT or similar) in their work? If so, with client data?</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any unsanctioned software or personal account in use for firm work (shadow IT)?</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4  </w:t>
            </w:r>
            <w:r>
              <w:rPr>
                <w:rFonts w:ascii="Calibri" w:cs="Calibri" w:eastAsia="Calibri" w:hAnsi="Calibri"/>
                <w:b/>
                <w:bCs/>
                <w:color w:val="FFFFFF"/>
                <w:sz w:val="24"/>
                <w:szCs w:val="24"/>
              </w:rPr>
              <w:t xml:space="preserve">Legacy Windows Applications</w:t>
            </w:r>
          </w:p>
        </w:tc>
      </w:tr>
    </w:tbl>
    <w:p>
      <w:pPr>
        <w:spacing w:after="100" w:before="80"/>
      </w:pPr>
      <w:r>
        <w:rPr>
          <w:rFonts w:ascii="Calibri" w:cs="Calibri" w:eastAsia="Calibri" w:hAnsi="Calibri"/>
          <w:i/>
          <w:iCs/>
          <w:color w:val="595959"/>
          <w:sz w:val="18"/>
          <w:szCs w:val="18"/>
        </w:rPr>
        <w:t xml:space="preserve">Complete one row for each Windows desktop or legacy application still in production use.</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000"/>
        <w:gridCol w:w="2200"/>
        <w:gridCol w:w="1240"/>
      </w:tblGrid>
      <w:tr>
        <w:trPr>
          <w:cantSplit/>
          <w:tblHeader/>
        </w:trPr>
        <w:tc>
          <w:tcPr>
            <w:tcW w:type="dxa" w:w="22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Application</w:t>
            </w:r>
          </w:p>
        </w:tc>
        <w:tc>
          <w:tcPr>
            <w:tcW w:type="dxa" w:w="26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Hosted where (on-prem server, hosted desktop, workstation)</w:t>
            </w:r>
          </w:p>
        </w:tc>
        <w:tc>
          <w:tcPr>
            <w:tcW w:type="dxa" w:w="20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Access method (RDP, Citrix, VPN, local)</w:t>
            </w:r>
          </w:p>
        </w:tc>
        <w:tc>
          <w:tcPr>
            <w:tcW w:type="dxa" w:w="22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How access is secured (MFA, gateway, IP restriction)</w:t>
            </w:r>
          </w:p>
        </w:tc>
        <w:tc>
          <w:tcPr>
            <w:tcW w:type="dxa" w:w="12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Server OS and support status</w:t>
            </w:r>
          </w:p>
        </w:tc>
      </w:tr>
      <w:tr>
        <w:trPr>
          <w:cantSplit/>
          <w:trHeight w:val="420" w:hRule="atLeast"/>
        </w:trPr>
        <w:tc>
          <w:tcPr>
            <w:tcW w:type="dxa" w:w="2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the vendor still support each installed version?</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MFA enforced on the remote access layer for these apps?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there a documented migration path if an app must be retired?</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5  </w:t>
            </w:r>
            <w:r>
              <w:rPr>
                <w:rFonts w:ascii="Calibri" w:cs="Calibri" w:eastAsia="Calibri" w:hAnsi="Calibri"/>
                <w:b/>
                <w:bCs/>
                <w:color w:val="FFFFFF"/>
                <w:sz w:val="24"/>
                <w:szCs w:val="24"/>
              </w:rPr>
              <w:t xml:space="preserve">Software Licensing</w:t>
            </w:r>
          </w:p>
        </w:tc>
      </w:tr>
    </w:tbl>
    <w:p>
      <w:pPr>
        <w:spacing w:after="100" w:before="80"/>
      </w:pPr>
      <w:r>
        <w:rPr>
          <w:rFonts w:ascii="Calibri" w:cs="Calibri" w:eastAsia="Calibri" w:hAnsi="Calibri"/>
          <w:i/>
          <w:iCs/>
          <w:color w:val="595959"/>
          <w:sz w:val="18"/>
          <w:szCs w:val="18"/>
        </w:rPr>
        <w:t xml:space="preserve">Licenses frequently do not transfer on a change of ownership, and licenses purchased through the current IT provider must be migrated to Tech Guru's management. Attach a full license list and current invoices in Section 14.</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300"/>
        <w:gridCol w:w="1900"/>
        <w:gridCol w:w="2100"/>
        <w:gridCol w:w="1400"/>
        <w:gridCol w:w="1200"/>
        <w:gridCol w:w="1340"/>
      </w:tblGrid>
      <w:tr>
        <w:trPr>
          <w:cantSplit/>
          <w:tblHeader/>
        </w:trPr>
        <w:tc>
          <w:tcPr>
            <w:tcW w:type="dxa" w:w="23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Product</w:t>
            </w:r>
          </w:p>
        </w:tc>
        <w:tc>
          <w:tcPr>
            <w:tcW w:type="dxa" w:w="19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Model (perpetual / subscription)</w:t>
            </w:r>
          </w:p>
        </w:tc>
        <w:tc>
          <w:tcPr>
            <w:tcW w:type="dxa" w:w="21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Registered to (entity or person)</w:t>
            </w:r>
          </w:p>
        </w:tc>
        <w:tc>
          <w:tcPr>
            <w:tcW w:type="dxa" w:w="14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Transferable on sale?</w:t>
            </w:r>
          </w:p>
        </w:tc>
        <w:tc>
          <w:tcPr>
            <w:tcW w:type="dxa" w:w="12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Renewal date</w:t>
            </w:r>
          </w:p>
        </w:tc>
        <w:tc>
          <w:tcPr>
            <w:tcW w:type="dxa" w:w="1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Annual cost</w:t>
            </w:r>
          </w:p>
        </w:tc>
      </w:tr>
      <w:tr>
        <w:trPr>
          <w:cantSplit/>
          <w:trHeight w:val="420" w:hRule="atLeast"/>
        </w:trPr>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Microsoft 365 / Google Workspace plan and license count</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Who owns and administers the tenant</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Licenses vs actual headcount (any gap)</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 any vendor agreements require consent before assignment?</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there multi-year commitments or auto-renewals within 12 months?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there unlicensed installs or known true-up exposure?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 any bundled discounts end when ownership changes?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6  </w:t>
            </w:r>
            <w:r>
              <w:rPr>
                <w:rFonts w:ascii="Calibri" w:cs="Calibri" w:eastAsia="Calibri" w:hAnsi="Calibri"/>
                <w:b/>
                <w:bCs/>
                <w:color w:val="FFFFFF"/>
                <w:sz w:val="24"/>
                <w:szCs w:val="24"/>
              </w:rPr>
              <w:t xml:space="preserve">Infrastructure, Network, and Web Presence</w:t>
            </w:r>
          </w:p>
        </w:tc>
      </w:tr>
    </w:tbl>
    <w:p>
      <w:pPr>
        <w:spacing w:after="100" w:before="80"/>
      </w:pPr>
      <w:r>
        <w:rPr>
          <w:rFonts w:ascii="Calibri" w:cs="Calibri" w:eastAsia="Calibri" w:hAnsi="Calibri"/>
          <w:i/>
          <w:iCs/>
          <w:color w:val="595959"/>
          <w:sz w:val="18"/>
          <w:szCs w:val="18"/>
        </w:rPr>
        <w:t xml:space="preserve">Identify each component by brand and model, who manages it, and its support status.</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400"/>
        <w:gridCol w:w="2900"/>
        <w:gridCol w:w="1900"/>
        <w:gridCol w:w="3040"/>
      </w:tblGrid>
      <w:tr>
        <w:trPr>
          <w:cantSplit/>
          <w:tblHeader/>
        </w:trPr>
        <w:tc>
          <w:tcPr>
            <w:tcW w:type="dxa" w:w="24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Component</w:t>
            </w:r>
          </w:p>
        </w:tc>
        <w:tc>
          <w:tcPr>
            <w:tcW w:type="dxa" w:w="29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Brand / model / provider</w:t>
            </w:r>
          </w:p>
        </w:tc>
        <w:tc>
          <w:tcPr>
            <w:tcW w:type="dxa" w:w="19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Managed by</w:t>
            </w:r>
          </w:p>
        </w:tc>
        <w:tc>
          <w:tcPr>
            <w:tcW w:type="dxa" w:w="30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Support / contract status</w:t>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Firewall</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Switches</w:t>
            </w:r>
          </w:p>
        </w:tc>
        <w:tc>
          <w:tcPr>
            <w:tcW w:type="dxa" w:w="2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Wireless access points</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Servers (list or attach inventory)</w:t>
            </w:r>
          </w:p>
        </w:tc>
        <w:tc>
          <w:tcPr>
            <w:tcW w:type="dxa" w:w="2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Internet service and bandwidth</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Failover connection</w:t>
            </w:r>
          </w:p>
        </w:tc>
        <w:tc>
          <w:tcPr>
            <w:tcW w:type="dxa" w:w="2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Email platform</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Domain registrar and DNS</w:t>
            </w:r>
          </w:p>
        </w:tc>
        <w:tc>
          <w:tcPr>
            <w:tcW w:type="dxa" w:w="2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Phone system</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E-fax service</w:t>
            </w:r>
          </w:p>
        </w:tc>
        <w:tc>
          <w:tcPr>
            <w:tcW w:type="dxa" w:w="2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Website hosting / CMS</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CRM / marketing platform</w:t>
            </w:r>
          </w:p>
        </w:tc>
        <w:tc>
          <w:tcPr>
            <w:tcW w:type="dxa" w:w="2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Printers / scanners with dependencies</w:t>
            </w:r>
          </w:p>
        </w:tc>
        <w:tc>
          <w:tcPr>
            <w:tcW w:type="dxa" w:w="2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9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Who controls the website, Google Business profile, and social accounts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firewall firmware current with an active security subscription?</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server hardware under warranty or a support contract?</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remote management access to the firewall secured with MFA?</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any servers running Windows Server 2016 or older?</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7  </w:t>
            </w:r>
            <w:r>
              <w:rPr>
                <w:rFonts w:ascii="Calibri" w:cs="Calibri" w:eastAsia="Calibri" w:hAnsi="Calibri"/>
                <w:b/>
                <w:bCs/>
                <w:color w:val="FFFFFF"/>
                <w:sz w:val="24"/>
                <w:szCs w:val="24"/>
              </w:rPr>
              <w:t xml:space="preserve">End User Computing</w:t>
            </w:r>
          </w:p>
        </w:tc>
      </w:tr>
    </w:tbl>
    <w:p>
      <w:pPr>
        <w:spacing w:after="100" w:before="80"/>
      </w:pPr>
      <w:r>
        <w:rPr>
          <w:rFonts w:ascii="Calibri" w:cs="Calibri" w:eastAsia="Calibri" w:hAnsi="Calibri"/>
          <w:i/>
          <w:iCs/>
          <w:color w:val="595959"/>
          <w:sz w:val="18"/>
          <w:szCs w:val="18"/>
        </w:rPr>
        <w:t xml:space="preserve">Device ownership and management determine both security risk and day-one replacement cost.</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300"/>
        <w:gridCol w:w="1500"/>
        <w:gridCol w:w="1500"/>
        <w:gridCol w:w="2400"/>
        <w:gridCol w:w="2540"/>
      </w:tblGrid>
      <w:tr>
        <w:trPr>
          <w:cantSplit/>
          <w:tblHeader/>
        </w:trPr>
        <w:tc>
          <w:tcPr>
            <w:tcW w:type="dxa" w:w="23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Device type</w:t>
            </w:r>
          </w:p>
        </w:tc>
        <w:tc>
          <w:tcPr>
            <w:tcW w:type="dxa" w:w="15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Company-owned qty</w:t>
            </w:r>
          </w:p>
        </w:tc>
        <w:tc>
          <w:tcPr>
            <w:tcW w:type="dxa" w:w="15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Personal (BYOD) qty</w:t>
            </w:r>
          </w:p>
        </w:tc>
        <w:tc>
          <w:tcPr>
            <w:tcW w:type="dxa" w:w="24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Managed by (RMM / MDM / none)</w:t>
            </w:r>
          </w:p>
        </w:tc>
        <w:tc>
          <w:tcPr>
            <w:tcW w:type="dxa" w:w="25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OS versions in use</w:t>
            </w:r>
          </w:p>
        </w:tc>
      </w:tr>
      <w:tr>
        <w:trPr>
          <w:cantSplit/>
          <w:trHeight w:val="420" w:hRule="atLeast"/>
        </w:trPr>
        <w:tc>
          <w:tcPr>
            <w:tcW w:type="dxa" w:w="23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Desktops</w:t>
            </w:r>
          </w:p>
        </w:tc>
        <w:tc>
          <w:tcPr>
            <w:tcW w:type="dxa" w:w="15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5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Laptops</w:t>
            </w:r>
          </w:p>
        </w:tc>
        <w:tc>
          <w:tcPr>
            <w:tcW w:type="dxa" w:w="15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5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Tablets</w:t>
            </w:r>
          </w:p>
        </w:tc>
        <w:tc>
          <w:tcPr>
            <w:tcW w:type="dxa" w:w="15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5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Mobile phones used for firm work</w:t>
            </w:r>
          </w:p>
        </w:tc>
        <w:tc>
          <w:tcPr>
            <w:tcW w:type="dxa" w:w="15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5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3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Home office equipment (remote staff)</w:t>
            </w:r>
          </w:p>
        </w:tc>
        <w:tc>
          <w:tcPr>
            <w:tcW w:type="dxa" w:w="15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5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 end users have local administrator rights?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client data stored locally on any devices?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personal cloud accounts (personal OneDrive, Dropbox, Gmail) used for firm work?</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any Windows 10 devices still in service? (Windows 10 is past end of support)</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there a documented device replacement cycle?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any devices held by former employees or unaccounted for?</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8  </w:t>
            </w:r>
            <w:r>
              <w:rPr>
                <w:rFonts w:ascii="Calibri" w:cs="Calibri" w:eastAsia="Calibri" w:hAnsi="Calibri"/>
                <w:b/>
                <w:bCs/>
                <w:color w:val="FFFFFF"/>
                <w:sz w:val="24"/>
                <w:szCs w:val="24"/>
              </w:rPr>
              <w:t xml:space="preserve">Identity, Access, and MFA</w:t>
            </w:r>
          </w:p>
        </w:tc>
      </w:tr>
    </w:tbl>
    <w:p>
      <w:pPr>
        <w:spacing w:after="100" w:before="80"/>
      </w:pPr>
      <w:r>
        <w:rPr>
          <w:rFonts w:ascii="Calibri" w:cs="Calibri" w:eastAsia="Calibri" w:hAnsi="Calibri"/>
          <w:i/>
          <w:iCs/>
          <w:color w:val="595959"/>
          <w:sz w:val="18"/>
          <w:szCs w:val="18"/>
        </w:rPr>
        <w:t xml:space="preserve">Weak identity practice is the most common root cause in accounting firm security incidents.</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Identity platform (on-prem AD, Entra ID, hybrid, none)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000"/>
        <w:gridCol w:w="1600"/>
        <w:gridCol w:w="2600"/>
        <w:gridCol w:w="3040"/>
      </w:tblGrid>
      <w:tr>
        <w:trPr>
          <w:cantSplit/>
          <w:tblHeader/>
        </w:trPr>
        <w:tc>
          <w:tcPr>
            <w:tcW w:type="dxa" w:w="30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System</w:t>
            </w:r>
          </w:p>
        </w:tc>
        <w:tc>
          <w:tcPr>
            <w:tcW w:type="dxa" w:w="16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MFA enforced? (Y/N)</w:t>
            </w:r>
          </w:p>
        </w:tc>
        <w:tc>
          <w:tcPr>
            <w:tcW w:type="dxa" w:w="26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Method (app, hardware key, SMS, none)</w:t>
            </w:r>
          </w:p>
        </w:tc>
        <w:tc>
          <w:tcPr>
            <w:tcW w:type="dxa" w:w="30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Notes</w:t>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Email</w:t>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VPN / remote access</w:t>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Tax software</w:t>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Client portal</w:t>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Practice management</w:t>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Hosted desktop environment</w:t>
            </w:r>
          </w:p>
        </w:tc>
        <w:tc>
          <w:tcPr>
            <w:tcW w:type="dxa" w:w="1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Banking and payment systems</w:t>
            </w:r>
          </w:p>
        </w:tc>
        <w:tc>
          <w:tcPr>
            <w:tcW w:type="dxa" w:w="1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6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0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a firm-wide password manager in use?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shared logins used for any client-facing or financial system?</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the firm store client logins (client bank accounts, client QuickBooks, payroll platforms, IRS and state portals)?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there a documented offboarding process for departing staff?</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Have accounts been audited for former employees (stale accounts)?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 admins use separate admin accounts from their daily accounts?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conditional access or geographic login restrictions in place?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Where client credentials are stored and how they are secured (do not list any credential here)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9  </w:t>
            </w:r>
            <w:r>
              <w:rPr>
                <w:rFonts w:ascii="Calibri" w:cs="Calibri" w:eastAsia="Calibri" w:hAnsi="Calibri"/>
                <w:b/>
                <w:bCs/>
                <w:color w:val="FFFFFF"/>
                <w:sz w:val="24"/>
                <w:szCs w:val="24"/>
              </w:rPr>
              <w:t xml:space="preserve">Security Posture and Incident History</w:t>
            </w:r>
          </w:p>
        </w:tc>
      </w:tr>
    </w:tbl>
    <w:p>
      <w:pPr>
        <w:spacing w:after="100" w:before="80"/>
      </w:pPr>
      <w:r>
        <w:rPr>
          <w:rFonts w:ascii="Calibri" w:cs="Calibri" w:eastAsia="Calibri" w:hAnsi="Calibri"/>
          <w:i/>
          <w:iCs/>
          <w:color w:val="595959"/>
          <w:sz w:val="18"/>
          <w:szCs w:val="18"/>
        </w:rPr>
        <w:t xml:space="preserve">Answer completely. Undisclosed incidents discovered after close become a dispute; disclosed ones become a plan.</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EDR or MDR deployed on all devices (not legacy antivirus only)?</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advanced email phishing protection in place?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SPF, DKIM, and DMARC configured on the mail domain?</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patching of OS and applications managed and verified?</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full-disk encryption enabled on all laptops and desktops?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servers and backups encrypted at rest?</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client documents exchanged through a secure portal (not email attachments)?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there an offsite or immutable backup copy?</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Has a backup restore been tested in the last 12 months? (Give date in Details)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callback verification required before acting on changed payment or wire instructions?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dual approval required for ACH or wire transfers?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Has a vulnerability scan or penetration test been performed? (Give date)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security awareness training with phishing simulation in place?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Does the firm carry cyber liability insurance?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Cyber insurance carrier and policy limits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Backup product, what is backed up, and retention</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p>
      <w:pPr>
        <w:spacing w:after="100" w:before="80"/>
      </w:pPr>
      <w:r>
        <w:rPr>
          <w:rFonts w:ascii="Calibri" w:cs="Calibri" w:eastAsia="Calibri" w:hAnsi="Calibri"/>
          <w:i/>
          <w:iCs/>
          <w:color w:val="595959"/>
          <w:sz w:val="18"/>
          <w:szCs w:val="18"/>
        </w:rPr>
        <w:t xml:space="preserve">List every security incident in the past five years: breach, ransomware, business email compromise, wire fraud attempt, lost or stolen device. Write NONE if none.</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3200"/>
        <w:gridCol w:w="2400"/>
        <w:gridCol w:w="1440"/>
      </w:tblGrid>
      <w:tr>
        <w:trPr>
          <w:cantSplit/>
          <w:tblHeader/>
        </w:trPr>
        <w:tc>
          <w:tcPr>
            <w:tcW w:type="dxa" w:w="12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Date</w:t>
            </w:r>
          </w:p>
        </w:tc>
        <w:tc>
          <w:tcPr>
            <w:tcW w:type="dxa" w:w="20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Incident type</w:t>
            </w:r>
          </w:p>
        </w:tc>
        <w:tc>
          <w:tcPr>
            <w:tcW w:type="dxa" w:w="32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Description</w:t>
            </w:r>
          </w:p>
        </w:tc>
        <w:tc>
          <w:tcPr>
            <w:tcW w:type="dxa" w:w="24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Disclosed to (clients, IRS, insurer, law enforcement)</w:t>
            </w:r>
          </w:p>
        </w:tc>
        <w:tc>
          <w:tcPr>
            <w:tcW w:type="dxa" w:w="14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Status</w:t>
            </w:r>
          </w:p>
        </w:tc>
      </w:tr>
      <w:tr>
        <w:trPr>
          <w:cantSplit/>
          <w:trHeight w:val="420" w:hRule="atLeast"/>
        </w:trPr>
        <w:tc>
          <w:tcPr>
            <w:tcW w:type="dxa" w:w="1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1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1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2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1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32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there any open or threatened litigation or claim tied to a security event?</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Were the answers on the most recent cyber insurance application accurate?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10  </w:t>
            </w:r>
            <w:r>
              <w:rPr>
                <w:rFonts w:ascii="Calibri" w:cs="Calibri" w:eastAsia="Calibri" w:hAnsi="Calibri"/>
                <w:b/>
                <w:bCs/>
                <w:color w:val="FFFFFF"/>
                <w:sz w:val="24"/>
                <w:szCs w:val="24"/>
              </w:rPr>
              <w:t xml:space="preserve">Compliance and Regulatory</w:t>
            </w:r>
          </w:p>
        </w:tc>
      </w:tr>
    </w:tbl>
    <w:p>
      <w:pPr>
        <w:spacing w:after="100" w:before="80"/>
      </w:pPr>
      <w:r>
        <w:rPr>
          <w:rFonts w:ascii="Calibri" w:cs="Calibri" w:eastAsia="Calibri" w:hAnsi="Calibri"/>
          <w:i/>
          <w:iCs/>
          <w:color w:val="595959"/>
          <w:sz w:val="18"/>
          <w:szCs w:val="18"/>
        </w:rPr>
        <w:t xml:space="preserve">CPA firms carry specific federal obligations under the FTC Safeguards Rule (GLBA) and IRC 7216. Gaps transfer to the buyer.</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a Written Information Security Plan (WISP) exist?</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Has the WISP been reviewed or updated in the last 12 months?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the WISP actually implemented (not a shelf document)?</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a qualified security coordinator designated in the WISP?</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IRC 7216 consents in use with clients where required?</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If offshore staff touch returns, does 7216 consent language cover it?</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EFIN and PTIN in good standing?</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Any IRS correspondence regarding data security? (Describe in Details)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Are SOC reports or security attestations collected for critical vendors?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Is there a records retention and destruction policy for client files?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engagement letter language on data handling match actual practice?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Any prior regulator inquiries or state board matters tied to data handling?</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11  </w:t>
            </w:r>
            <w:r>
              <w:rPr>
                <w:rFonts w:ascii="Calibri" w:cs="Calibri" w:eastAsia="Calibri" w:hAnsi="Calibri"/>
                <w:b/>
                <w:bCs/>
                <w:color w:val="FFFFFF"/>
                <w:sz w:val="24"/>
                <w:szCs w:val="24"/>
              </w:rPr>
              <w:t xml:space="preserve">Practice Operations Technology</w:t>
            </w:r>
          </w:p>
        </w:tc>
      </w:tr>
    </w:tbl>
    <w:p>
      <w:pPr>
        <w:spacing w:after="100" w:before="80"/>
      </w:pPr>
      <w:r>
        <w:rPr>
          <w:rFonts w:ascii="Calibri" w:cs="Calibri" w:eastAsia="Calibri" w:hAnsi="Calibri"/>
          <w:i/>
          <w:iCs/>
          <w:color w:val="595959"/>
          <w:sz w:val="18"/>
          <w:szCs w:val="18"/>
        </w:rPr>
        <w:t xml:space="preserve">Technology embedded in how the practice operates and bills. In an asset purchase, the seller's EFIN does not transfer; the buyer needs its own EFIN and IRS approval, which takes 45 days or more.</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EFIN: which legal entity holds it</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CAF numbers and standing POAs (who holds them)</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E-file volume last season (federal / state returns)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Monthly revenue from firm-billed client subscriptions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the firm process payroll for clients? (Platform in Details)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If payroll: are there ACH origination agreements or impound accounts?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the firm bill clients for software subscriptions (QuickBooks Online wholesale / ProAdvisor, portal seats, apps)?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 those firm-billed subscriptions carry discounts that end on transfer?</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Does the firm text or use messaging apps with clients? (These communications carry retention obligations)</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Are there bank feed or third-party app connections maintained on client books?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12  </w:t>
            </w:r>
            <w:r>
              <w:rPr>
                <w:rFonts w:ascii="Calibri" w:cs="Calibri" w:eastAsia="Calibri" w:hAnsi="Calibri"/>
                <w:b/>
                <w:bCs/>
                <w:color w:val="FFFFFF"/>
                <w:sz w:val="24"/>
                <w:szCs w:val="24"/>
              </w:rPr>
              <w:t xml:space="preserve">Client Data, Records, and Migration</w:t>
            </w:r>
          </w:p>
        </w:tc>
      </w:tr>
    </w:tbl>
    <w:p>
      <w:pPr>
        <w:spacing w:after="100" w:before="80"/>
      </w:pPr>
      <w:r>
        <w:rPr>
          <w:rFonts w:ascii="Calibri" w:cs="Calibri" w:eastAsia="Calibri" w:hAnsi="Calibri"/>
          <w:i/>
          <w:iCs/>
          <w:color w:val="595959"/>
          <w:sz w:val="18"/>
          <w:szCs w:val="18"/>
        </w:rPr>
        <w:t xml:space="preserve">Client data is the asset being acquired. Identify every place it lives, digital and paper, and the approximate volume.</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2100"/>
        <w:gridCol w:w="2140"/>
      </w:tblGrid>
      <w:tr>
        <w:trPr>
          <w:cantSplit/>
          <w:tblHeader/>
        </w:trPr>
        <w:tc>
          <w:tcPr>
            <w:tcW w:type="dxa" w:w="30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Location</w:t>
            </w:r>
          </w:p>
        </w:tc>
        <w:tc>
          <w:tcPr>
            <w:tcW w:type="dxa" w:w="30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Type of data stored there</w:t>
            </w:r>
          </w:p>
        </w:tc>
        <w:tc>
          <w:tcPr>
            <w:tcW w:type="dxa" w:w="21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Approx volume (GB, file count, or boxes)</w:t>
            </w:r>
          </w:p>
        </w:tc>
        <w:tc>
          <w:tcPr>
            <w:tcW w:type="dxa" w:w="21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Notes</w:t>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Document management system</w:t>
            </w:r>
          </w:p>
        </w:tc>
        <w:tc>
          <w:tcPr>
            <w:tcW w:type="dxa" w:w="3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File server / network shares</w:t>
            </w:r>
          </w:p>
        </w:tc>
        <w:tc>
          <w:tcPr>
            <w:tcW w:type="dxa" w:w="3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Email mailboxes and archives</w:t>
            </w:r>
          </w:p>
        </w:tc>
        <w:tc>
          <w:tcPr>
            <w:tcW w:type="dxa" w:w="3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Client portal</w:t>
            </w:r>
          </w:p>
        </w:tc>
        <w:tc>
          <w:tcPr>
            <w:tcW w:type="dxa" w:w="3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Local device storage</w:t>
            </w:r>
          </w:p>
        </w:tc>
        <w:tc>
          <w:tcPr>
            <w:tcW w:type="dxa" w:w="3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Personal cloud accounts</w:t>
            </w:r>
          </w:p>
        </w:tc>
        <w:tc>
          <w:tcPr>
            <w:tcW w:type="dxa" w:w="3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Paper client files (on site)</w:t>
            </w:r>
          </w:p>
        </w:tc>
        <w:tc>
          <w:tcPr>
            <w:tcW w:type="dxa" w:w="3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Offsite records storage (e.g., Iron Mountain)</w:t>
            </w:r>
          </w:p>
        </w:tc>
        <w:tc>
          <w:tcPr>
            <w:tcW w:type="dxa" w:w="30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30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Other</w:t>
            </w:r>
          </w:p>
        </w:tc>
        <w:tc>
          <w:tcPr>
            <w:tcW w:type="dxa" w:w="30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1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Prior-year returns: format, software dependency, years retained</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Offsite records storage vendor and contract terms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file and folder naming consistent enough to migrate cleanly?</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Will paper records need scanning to integrate with the buyer's systems?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Will any departing partner retain client data or portal access post-close?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380" w:hRule="atLeast"/>
        </w:trPr>
        <w:tc>
          <w:tcPr>
            <w:tcW w:type="dxa" w:w="53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Do IT and hosting contracts include data ownership and return provisions?</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13  </w:t>
            </w:r>
            <w:r>
              <w:rPr>
                <w:rFonts w:ascii="Calibri" w:cs="Calibri" w:eastAsia="Calibri" w:hAnsi="Calibri"/>
                <w:b/>
                <w:bCs/>
                <w:color w:val="FFFFFF"/>
                <w:sz w:val="24"/>
                <w:szCs w:val="24"/>
              </w:rPr>
              <w:t xml:space="preserve">Vendors, Contracts, and Cost</w:t>
            </w:r>
          </w:p>
        </w:tc>
      </w:tr>
    </w:tbl>
    <w:p>
      <w:pPr>
        <w:spacing w:after="100" w:before="80"/>
      </w:pPr>
      <w:r>
        <w:rPr>
          <w:rFonts w:ascii="Calibri" w:cs="Calibri" w:eastAsia="Calibri" w:hAnsi="Calibri"/>
          <w:i/>
          <w:iCs/>
          <w:color w:val="595959"/>
          <w:sz w:val="18"/>
          <w:szCs w:val="18"/>
        </w:rPr>
        <w:t xml:space="preserve">List every technology vendor and recurring cost. Attach contracts in Section 14. If costs rise during tax season, give the peak figure.</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2100"/>
        <w:gridCol w:w="2300"/>
        <w:gridCol w:w="1300"/>
        <w:gridCol w:w="1700"/>
        <w:gridCol w:w="1400"/>
        <w:gridCol w:w="1440"/>
      </w:tblGrid>
      <w:tr>
        <w:trPr>
          <w:cantSplit/>
          <w:tblHeader/>
        </w:trPr>
        <w:tc>
          <w:tcPr>
            <w:tcW w:type="dxa" w:w="21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Vendor</w:t>
            </w:r>
          </w:p>
        </w:tc>
        <w:tc>
          <w:tcPr>
            <w:tcW w:type="dxa" w:w="23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Service</w:t>
            </w:r>
          </w:p>
        </w:tc>
        <w:tc>
          <w:tcPr>
            <w:tcW w:type="dxa" w:w="13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Monthly cost</w:t>
            </w:r>
          </w:p>
        </w:tc>
        <w:tc>
          <w:tcPr>
            <w:tcW w:type="dxa" w:w="1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Term / renewal date</w:t>
            </w:r>
          </w:p>
        </w:tc>
        <w:tc>
          <w:tcPr>
            <w:tcW w:type="dxa" w:w="14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Termination penalty?</w:t>
            </w:r>
          </w:p>
        </w:tc>
        <w:tc>
          <w:tcPr>
            <w:tcW w:type="dxa" w:w="14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Assignable?</w:t>
            </w:r>
          </w:p>
        </w:tc>
      </w:tr>
      <w:tr>
        <w:trPr>
          <w:cantSplit/>
          <w:trHeight w:val="420" w:hRule="atLeast"/>
        </w:trPr>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20" w:hRule="atLeast"/>
        </w:trPr>
        <w:tc>
          <w:tcPr>
            <w:tcW w:type="dxa" w:w="21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2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3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c>
          <w:tcPr>
            <w:tcW w:type="dxa" w:w="14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Total annual technology spend (all vendors and licenses)</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Peak-season vs off-season monthly technology cost</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Known deferred maintenance or upgrades already needed</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5340"/>
        <w:gridCol w:w="700"/>
        <w:gridCol w:w="700"/>
        <w:gridCol w:w="700"/>
        <w:gridCol w:w="2800"/>
      </w:tblGrid>
      <w:tr>
        <w:trPr>
          <w:cantSplit/>
          <w:tblHeader/>
        </w:trPr>
        <w:tc>
          <w:tcPr>
            <w:tcW w:type="dxa" w:w="534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Question</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Yes</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No</w:t>
            </w:r>
          </w:p>
        </w:tc>
        <w:tc>
          <w:tcPr>
            <w:tcW w:type="dxa" w:w="7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center"/>
            </w:pPr>
            <w:r>
              <w:rPr>
                <w:rFonts w:ascii="Calibri" w:cs="Calibri" w:eastAsia="Calibri" w:hAnsi="Calibri"/>
                <w:b/>
                <w:bCs/>
                <w:color w:val="FFFFFF"/>
                <w:sz w:val="19"/>
                <w:szCs w:val="19"/>
              </w:rPr>
              <w:t xml:space="preserve">N/A</w:t>
            </w:r>
          </w:p>
        </w:tc>
        <w:tc>
          <w:tcPr>
            <w:tcW w:type="dxa" w:w="2800"/>
            <w:tcBorders>
              <w:top w:val="single" w:color="C9CFC5" w:sz="4"/>
              <w:left w:val="single" w:color="C9CFC5" w:sz="4"/>
              <w:bottom w:val="single" w:color="C9CFC5" w:sz="4"/>
              <w:right w:val="single" w:color="C9CFC5" w:sz="4"/>
            </w:tcBorders>
            <w:shd w:fill="4F7F3A" w:val="clear"/>
            <w:tcMar>
              <w:top w:type="dxa" w:w="70"/>
              <w:left w:type="dxa" w:w="110"/>
              <w:bottom w:type="dxa" w:w="70"/>
              <w:right w:type="dxa" w:w="110"/>
            </w:tcMar>
            <w:vAlign w:val="center"/>
          </w:tcPr>
          <w:p>
            <w:pPr>
              <w:jc w:val="left"/>
            </w:pPr>
            <w:r>
              <w:rPr>
                <w:rFonts w:ascii="Calibri" w:cs="Calibri" w:eastAsia="Calibri" w:hAnsi="Calibri"/>
                <w:b/>
                <w:bCs/>
                <w:color w:val="FFFFFF"/>
                <w:sz w:val="19"/>
                <w:szCs w:val="19"/>
              </w:rPr>
              <w:t xml:space="preserve">Details</w:t>
            </w:r>
          </w:p>
        </w:tc>
      </w:tr>
      <w:tr>
        <w:trPr>
          <w:cantSplit/>
          <w:trHeight w:val="380" w:hRule="atLeast"/>
        </w:trPr>
        <w:tc>
          <w:tcPr>
            <w:tcW w:type="dxa" w:w="53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Is the hosted environment or licensing scaled up seasonally for tax season?</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28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p>
      <w:pPr>
        <w:spacing w:after="10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tcMar>
              <w:top w:type="dxa" w:w="90"/>
              <w:left w:type="dxa" w:w="140"/>
              <w:bottom w:type="dxa" w:w="90"/>
              <w:right w:type="dxa" w:w="140"/>
            </w:tcMar>
          </w:tcPr>
          <w:p>
            <w:pPr>
              <w:spacing w:after="60"/>
            </w:pPr>
            <w:r>
              <w:rPr>
                <w:rFonts w:ascii="Calibri" w:cs="Calibri" w:eastAsia="Calibri" w:hAnsi="Calibri"/>
                <w:b/>
                <w:bCs/>
                <w:color w:val="2E4A22"/>
                <w:sz w:val="19"/>
                <w:szCs w:val="19"/>
              </w:rPr>
              <w:t xml:space="preserve">Describe anything a buyer or incoming IT provider should know that is not captured above: known concerns, aging systems, planned changes, or dependencies on specific people.</w:t>
            </w:r>
          </w:p>
          <w:p>
            <w:pPr>
              <w:spacing w:after="160"/>
            </w:pPr>
            <w:r>
              <w:rPr>
                <w:rFonts w:ascii="Calibri" w:cs="Calibri" w:eastAsia="Calibri" w:hAnsi="Calibri"/>
                <w:color w:val="000000"/>
                <w:sz w:val="20"/>
                <w:szCs w:val="20"/>
              </w:rPr>
              <w:t xml:space="preserve"/>
            </w:r>
          </w:p>
          <w:p>
            <w:pPr>
              <w:spacing w:after="160"/>
            </w:pPr>
            <w:r>
              <w:rPr>
                <w:rFonts w:ascii="Calibri" w:cs="Calibri" w:eastAsia="Calibri" w:hAnsi="Calibri"/>
                <w:color w:val="000000"/>
                <w:sz w:val="20"/>
                <w:szCs w:val="20"/>
              </w:rPr>
              <w:t xml:space="preserve"/>
            </w:r>
          </w:p>
          <w:p>
            <w:pPr>
              <w:spacing w:after="160"/>
            </w:pPr>
            <w:r>
              <w:rPr>
                <w:rFonts w:ascii="Calibri" w:cs="Calibri" w:eastAsia="Calibri" w:hAnsi="Calibri"/>
                <w:color w:val="000000"/>
                <w:sz w:val="20"/>
                <w:szCs w:val="20"/>
              </w:rPr>
              <w:t xml:space="preserve"/>
            </w:r>
          </w:p>
          <w:p>
            <w:pPr>
              <w:spacing w:after="160"/>
            </w:pPr>
            <w:r>
              <w:rPr>
                <w:rFonts w:ascii="Calibri" w:cs="Calibri" w:eastAsia="Calibri" w:hAnsi="Calibri"/>
                <w:color w:val="000000"/>
                <w:sz w:val="20"/>
                <w:szCs w:val="20"/>
              </w:rPr>
              <w:t xml:space="preserve"/>
            </w:r>
          </w:p>
          <w:p>
            <w:pPr>
              <w:spacing w:after="160"/>
            </w:pPr>
            <w:r>
              <w:rPr>
                <w:rFonts w:ascii="Calibri" w:cs="Calibri" w:eastAsia="Calibri" w:hAnsi="Calibri"/>
                <w:color w:val="000000"/>
                <w:sz w:val="20"/>
                <w:szCs w:val="20"/>
              </w:rPr>
              <w:t xml:space="preserve"/>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14  </w:t>
            </w:r>
            <w:r>
              <w:rPr>
                <w:rFonts w:ascii="Calibri" w:cs="Calibri" w:eastAsia="Calibri" w:hAnsi="Calibri"/>
                <w:b/>
                <w:bCs/>
                <w:color w:val="FFFFFF"/>
                <w:sz w:val="24"/>
                <w:szCs w:val="24"/>
              </w:rPr>
              <w:t xml:space="preserve">Documents to Provide</w:t>
            </w:r>
          </w:p>
        </w:tc>
      </w:tr>
    </w:tbl>
    <w:p>
      <w:pPr>
        <w:spacing w:after="100" w:before="80"/>
      </w:pPr>
      <w:r>
        <w:rPr>
          <w:rFonts w:ascii="Calibri" w:cs="Calibri" w:eastAsia="Calibri" w:hAnsi="Calibri"/>
          <w:i/>
          <w:iCs/>
          <w:color w:val="595959"/>
          <w:sz w:val="18"/>
          <w:szCs w:val="18"/>
        </w:rPr>
        <w:t xml:space="preserve">Attach or provide access to each of the following with the completed questionnaire. Mark the box when included.</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700"/>
        <w:gridCol w:w="9540"/>
      </w:tblGrid>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Written Information Security Plan (WISP)</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Cyber liability insurance policy and most recent application</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IT / managed services agreement and any hosting contracts</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Export of IT documentation (IT Glue, Hudu, or equivalent)</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Software license list with current invoices</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Microsoft 365 or Google Workspace license and user report</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CSP or licensing agreement with the current IT provider</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Network diagram (or firewall and switch configuration summary)</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Hardware asset inventory with purchase dates</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Most recent backup report and restore test evidence</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SOC reports or security attestations for critical vendors</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Incident reports or insurer correspondence for any listed incident</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Engagement letter template and IRC 7216 consent forms in use</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Firm-billed client subscription report (e.g., QuickBooks Online wholesale)</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Payroll processing and ACH origination agreements, if applicable</w:t>
            </w:r>
          </w:p>
        </w:tc>
      </w:tr>
      <w:tr>
        <w:trPr>
          <w:cantSplit/>
          <w:trHeight w:val="360" w:hRule="atLeast"/>
        </w:trPr>
        <w:tc>
          <w:tcPr>
            <w:tcW w:type="dxa" w:w="70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shd w:fill="F7F7F5" w:val="clear"/>
            <w:tcMar>
              <w:top w:type="dxa" w:w="70"/>
              <w:left w:type="dxa" w:w="110"/>
              <w:bottom w:type="dxa" w:w="70"/>
              <w:right w:type="dxa" w:w="110"/>
            </w:tcMar>
            <w:vAlign w:val="center"/>
          </w:tcPr>
          <w:p>
            <w:r>
              <w:rPr>
                <w:rFonts w:ascii="Calibri" w:cs="Calibri" w:eastAsia="Calibri" w:hAnsi="Calibri"/>
                <w:color w:val="000000"/>
                <w:sz w:val="19"/>
                <w:szCs w:val="19"/>
              </w:rPr>
              <w:t xml:space="preserve">Offsite records storage contract, if applicable</w:t>
            </w:r>
          </w:p>
        </w:tc>
      </w:tr>
      <w:tr>
        <w:trPr>
          <w:cantSplit/>
          <w:trHeight w:val="360" w:hRule="atLeast"/>
        </w:trPr>
        <w:tc>
          <w:tcPr>
            <w:tcW w:type="dxa" w:w="70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pPr>
              <w:jc w:val="center"/>
            </w:pPr>
            <w:r>
              <w:rPr>
                <w:rFonts w:ascii="Calibri" w:cs="Calibri" w:eastAsia="Calibri" w:hAnsi="Calibri"/>
                <w:color w:val="595959"/>
                <w:sz w:val="24"/>
                <w:szCs w:val="24"/>
              </w:rPr>
              <w:t xml:space="preserve">☐</w:t>
            </w:r>
          </w:p>
        </w:tc>
        <w:tc>
          <w:tcPr>
            <w:tcW w:type="dxa" w:w="95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19"/>
                <w:szCs w:val="19"/>
              </w:rPr>
              <w:t xml:space="preserve">Records retention policy</w:t>
            </w:r>
          </w:p>
        </w:tc>
      </w:tr>
    </w:tbl>
    <w:p>
      <w:pPr>
        <w:pageBreakBefore/>
        <w:spacing w:after="0"/>
      </w:pP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10240"/>
      </w:tblGrid>
      <w:tr>
        <w:trPr>
          <w:cantSplit/>
        </w:trPr>
        <w:tc>
          <w:tcPr>
            <w:tcW w:type="dxa" w:w="10240"/>
            <w:tcBorders>
              <w:top w:val="single" w:color="C9CFC5" w:sz="4"/>
              <w:left w:val="single" w:color="C9CFC5" w:sz="4"/>
              <w:bottom w:val="single" w:color="C9CFC5" w:sz="4"/>
              <w:right w:val="single" w:color="C9CFC5" w:sz="4"/>
            </w:tcBorders>
            <w:shd w:fill="4F7F3A" w:val="clear"/>
            <w:tcMar>
              <w:top w:type="dxa" w:w="90"/>
              <w:left w:type="dxa" w:w="140"/>
              <w:bottom w:type="dxa" w:w="90"/>
              <w:right w:type="dxa" w:w="140"/>
            </w:tcMar>
          </w:tcPr>
          <w:p>
            <w:r>
              <w:rPr>
                <w:rFonts w:ascii="Calibri" w:cs="Calibri" w:eastAsia="Calibri" w:hAnsi="Calibri"/>
                <w:b/>
                <w:bCs/>
                <w:color w:val="95C93D"/>
                <w:sz w:val="24"/>
                <w:szCs w:val="24"/>
              </w:rPr>
              <w:t xml:space="preserve">15  </w:t>
            </w:r>
            <w:r>
              <w:rPr>
                <w:rFonts w:ascii="Calibri" w:cs="Calibri" w:eastAsia="Calibri" w:hAnsi="Calibri"/>
                <w:b/>
                <w:bCs/>
                <w:color w:val="FFFFFF"/>
                <w:sz w:val="24"/>
                <w:szCs w:val="24"/>
              </w:rPr>
              <w:t xml:space="preserve">Attestation</w:t>
            </w:r>
          </w:p>
        </w:tc>
      </w:tr>
    </w:tbl>
    <w:p>
      <w:pPr>
        <w:spacing w:after="140" w:before="100"/>
      </w:pPr>
      <w:r>
        <w:rPr>
          <w:rFonts w:ascii="Calibri" w:cs="Calibri" w:eastAsia="Calibri" w:hAnsi="Calibri"/>
          <w:color w:val="000000"/>
          <w:sz w:val="20"/>
          <w:szCs w:val="20"/>
        </w:rPr>
        <w:t xml:space="preserve">The undersigned confirms that the responses in this questionnaire are complete and accurate to the best of their knowledge, and that all known security incidents and material technology obligations have been disclosed.</w:t>
      </w:r>
    </w:p>
    <w:tbl>
      <w:tblPr>
        <w:tblW w:type="dxa" w:w="10240"/>
        <w:tblBorders>
          <w:top w:val="single" w:color="auto" w:sz="4"/>
          <w:left w:val="single" w:color="auto" w:sz="4"/>
          <w:bottom w:val="single" w:color="auto" w:sz="4"/>
          <w:right w:val="single" w:color="auto" w:sz="4"/>
          <w:insideH w:val="single" w:color="auto" w:sz="4"/>
          <w:insideV w:val="single" w:color="auto" w:sz="4"/>
        </w:tblBorders>
      </w:tblPr>
      <w:tblGrid>
        <w:gridCol w:w="3400"/>
        <w:gridCol w:w="6840"/>
      </w:tblGrid>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Signature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Printed name and title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r>
        <w:trPr>
          <w:cantSplit/>
          <w:trHeight w:val="400" w:hRule="atLeast"/>
        </w:trPr>
        <w:tc>
          <w:tcPr>
            <w:tcW w:type="dxa" w:w="3400"/>
            <w:tcBorders>
              <w:top w:val="single" w:color="C9CFC5" w:sz="4"/>
              <w:left w:val="single" w:color="C9CFC5" w:sz="4"/>
              <w:bottom w:val="single" w:color="C9CFC5" w:sz="4"/>
              <w:right w:val="single" w:color="C9CFC5" w:sz="4"/>
            </w:tcBorders>
            <w:shd w:fill="EEF4E8" w:val="clear"/>
            <w:tcMar>
              <w:top w:type="dxa" w:w="70"/>
              <w:left w:type="dxa" w:w="110"/>
              <w:bottom w:type="dxa" w:w="70"/>
              <w:right w:type="dxa" w:w="110"/>
            </w:tcMar>
            <w:vAlign w:val="center"/>
          </w:tcPr>
          <w:p>
            <w:r>
              <w:rPr>
                <w:rFonts w:ascii="Calibri" w:cs="Calibri" w:eastAsia="Calibri" w:hAnsi="Calibri"/>
                <w:b/>
                <w:bCs/>
                <w:color w:val="2E4A22"/>
                <w:sz w:val="19"/>
                <w:szCs w:val="19"/>
              </w:rPr>
              <w:t xml:space="preserve">Date</w:t>
            </w:r>
          </w:p>
        </w:tc>
        <w:tc>
          <w:tcPr>
            <w:tcW w:type="dxa" w:w="6840"/>
            <w:tcBorders>
              <w:top w:val="single" w:color="C9CFC5" w:sz="4"/>
              <w:left w:val="single" w:color="C9CFC5" w:sz="4"/>
              <w:bottom w:val="single" w:color="C9CFC5" w:sz="4"/>
              <w:right w:val="single" w:color="C9CFC5" w:sz="4"/>
            </w:tcBorders>
            <w:tcMar>
              <w:top w:type="dxa" w:w="70"/>
              <w:left w:type="dxa" w:w="110"/>
              <w:bottom w:type="dxa" w:w="70"/>
              <w:right w:type="dxa" w:w="110"/>
            </w:tcMar>
            <w:vAlign w:val="center"/>
          </w:tcPr>
          <w:p>
            <w:r>
              <w:rPr>
                <w:rFonts w:ascii="Calibri" w:cs="Calibri" w:eastAsia="Calibri" w:hAnsi="Calibri"/>
                <w:color w:val="000000"/>
                <w:sz w:val="20"/>
                <w:szCs w:val="20"/>
              </w:rPr>
              <w:t xml:space="preserve"/>
            </w:r>
          </w:p>
        </w:tc>
      </w:tr>
    </w:tbl>
    <w:sectPr>
      <w:footerReference w:type="default" r:id="rId7"/>
      <w:pgSz w:w="12240" w:h="15840"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6"/>
        <w:szCs w:val="16"/>
      </w:rPr>
      <w:t xml:space="preserve">Tech Guru  |  Technology for Accounting Firms  |  techguruit.com     Page </w:t>
    </w:r>
    <w:r>
      <w:rPr>
        <w:rFonts w:ascii="Calibri" w:cs="Calibri" w:eastAsia="Calibri" w:hAnsi="Calibri"/>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f5b2a597c412233b051681913126f05c9d43410.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2026-08-20T21:49:17.387Z</dcterms:created>
  <dcterms:modified xsi:type="dcterms:W3CDTF">2026-08-20T21:49:17.400Z</dcterms:modified>
</cp:coreProperties>
</file>

<file path=docProps/custom.xml><?xml version="1.0" encoding="utf-8"?>
<Properties xmlns="http://schemas.openxmlformats.org/officeDocument/2006/custom-properties" xmlns:vt="http://schemas.openxmlformats.org/officeDocument/2006/docPropsVTypes"/>
</file>